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tblCellMar>
          <w:left w:w="0" w:type="dxa"/>
          <w:right w:w="0" w:type="dxa"/>
        </w:tblCellMar>
        <w:tblLook w:val="04A0" w:firstRow="1" w:lastRow="0" w:firstColumn="1" w:lastColumn="0" w:noHBand="0" w:noVBand="1"/>
      </w:tblPr>
      <w:tblGrid>
        <w:gridCol w:w="3402"/>
        <w:gridCol w:w="6846"/>
      </w:tblGrid>
      <w:tr w:rsidR="00422295" w:rsidRPr="00422295" w:rsidTr="00422295">
        <w:tc>
          <w:tcPr>
            <w:tcW w:w="3402" w:type="dxa"/>
            <w:tcMar>
              <w:top w:w="0" w:type="dxa"/>
              <w:left w:w="108" w:type="dxa"/>
              <w:bottom w:w="0" w:type="dxa"/>
              <w:right w:w="108" w:type="dxa"/>
            </w:tcMar>
            <w:hideMark/>
          </w:tcPr>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BỘ TƯ PHÁP</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000000"/>
              </w:rPr>
              <w:t>______</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000000"/>
              </w:rPr>
              <w:t>Số: 07/2022/TT-BTP</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tc>
        <w:tc>
          <w:tcPr>
            <w:tcW w:w="6846" w:type="dxa"/>
            <w:tcMar>
              <w:top w:w="0" w:type="dxa"/>
              <w:left w:w="108" w:type="dxa"/>
              <w:bottom w:w="0" w:type="dxa"/>
              <w:right w:w="108" w:type="dxa"/>
            </w:tcMar>
            <w:hideMark/>
          </w:tcPr>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CỘNG HÒA XÃ HỘI CHỦ NGHĨA VIỆT NAM</w:t>
            </w:r>
            <w:r w:rsidRPr="00422295">
              <w:rPr>
                <w:rFonts w:ascii="Arial" w:eastAsia="Times New Roman" w:hAnsi="Arial" w:cs="Arial"/>
                <w:color w:val="222222"/>
              </w:rPr>
              <w:br/>
            </w:r>
            <w:r w:rsidRPr="00422295">
              <w:rPr>
                <w:rFonts w:ascii="Arial" w:eastAsia="Times New Roman" w:hAnsi="Arial" w:cs="Arial"/>
                <w:b/>
                <w:bCs/>
                <w:color w:val="000000"/>
              </w:rPr>
              <w:t>Độc lập - Tự do - Hạnh phúc</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000000"/>
              </w:rPr>
              <w:t>_______________________</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i/>
                <w:iCs/>
                <w:color w:val="000000"/>
              </w:rPr>
              <w:t>Hà Nội, ngày 01 tháng 11 năm 2022</w:t>
            </w:r>
          </w:p>
        </w:tc>
      </w:tr>
    </w:tbl>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THÔNG TƯ</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Quy định tiêu chí phân loại, điều kiện thành lập, sáp nhập, hợp nhất, giải thể đơn vị sự nghiệp công lập thuộc ngành, lĩnh vực tư pháp</w:t>
      </w:r>
      <w:bookmarkStart w:id="0" w:name="_GoBack"/>
      <w:bookmarkEnd w:id="0"/>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000000"/>
        </w:rPr>
        <w:t>________________</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i/>
          <w:iCs/>
          <w:color w:val="000000"/>
        </w:rPr>
        <w:t>Căn cứ Nghị định số 123/2016/NĐ-CP ngày 01 tháng 9 năm 2016 của Chính phủ quy định chức năng, nhiệm vụ, quyền hạn và cơ cấu tổ chức của Bộ, cơ quan ngang Bộ; Nghị định số 101/2020/NĐ-CP ngày 28 tháng 8 năm 2020 của Chính phủ sửa đổi, bổ sung một số điều của Nghị định số 123/2016/NĐ-CP;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i/>
          <w:iCs/>
          <w:color w:val="000000"/>
        </w:rPr>
        <w:t>Căn cứ Nghị định số 96/2017/NĐ-CP ngày 16 tháng 8 năm 2017 của Chính phủ quy định chức năng, nhiệm vụ, quyền hạn và cơ cấu tổ chức của Bộ Tư pháp;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i/>
          <w:iCs/>
          <w:color w:val="000000"/>
        </w:rPr>
        <w:t>Căn cứ Nghị định số 120/2020/NĐ-CP ngày 07 tháng 10 năm 2020 của Chính phủ quy định về thành lập, tổ chức lại, giải thể đơn vị sự nghiệp công lập;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i/>
          <w:iCs/>
          <w:color w:val="000000"/>
        </w:rPr>
        <w:t>Căn cứ Nghị định số 60/2021/NĐ-CP ngày 21 tháng 6 năm 2021 của Chính phủ quy định cơ chế tự chủ tài chính của đơn vị sự nghiệp công lập;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i/>
          <w:iCs/>
          <w:color w:val="000000"/>
        </w:rPr>
        <w:t>Theo đề nghị của Vụ trưởng Vụ Tổ chức cán bộ;</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i/>
          <w:iCs/>
          <w:color w:val="000000"/>
        </w:rPr>
        <w:t>Bộ trưởng Bộ Tư pháp ban hành Thông tư quy định tiêu chí phân loại, điều kiện thành lập, sáp nhập, hợp nhất, giải thể đơn vị sự nghiệp công lập thuộc ngành, lĩnh vực tư pháp.</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Chương I. QUY ĐỊNH CHUNG</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1. Phạm </w:t>
      </w:r>
      <w:proofErr w:type="gramStart"/>
      <w:r w:rsidRPr="00422295">
        <w:rPr>
          <w:rFonts w:ascii="Arial" w:eastAsia="Times New Roman" w:hAnsi="Arial" w:cs="Arial"/>
          <w:b/>
          <w:bCs/>
          <w:color w:val="000000"/>
        </w:rPr>
        <w:t>vi</w:t>
      </w:r>
      <w:proofErr w:type="gramEnd"/>
      <w:r w:rsidRPr="00422295">
        <w:rPr>
          <w:rFonts w:ascii="Arial" w:eastAsia="Times New Roman" w:hAnsi="Arial" w:cs="Arial"/>
          <w:b/>
          <w:bCs/>
          <w:color w:val="000000"/>
        </w:rPr>
        <w:t> điều chỉnh</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Thông tư này quy định tiêu chí phân loại, điều kiện thành lập, sáp nhập, hợp nhất, giải thể các đơn vị sự nghiệp công lập thuộc ngành, lĩnh vực tư pháp có hoạt động sự nghiệp công trong các lĩnh vực gồm: trợ giúp pháp lý; bồi thường nhà nước; lý lịch tư pháp; công chứng; đấu giá tài sản; đăng ký biện pháp bảo đảm; hỗ trợ pháp luật, tư vấn pháp luật.</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2. Đối tượng áp dụng</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1. Đơn vị sự nghiệp công lập được cấp có thẩm quyền thành lập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xml:space="preserve"> quy định của pháp luật có hoạt động sự nghiệp công thuộc ngành, lĩnh vực tư pháp được quy định tại Điều 1 Thông tư này.</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2. Cơ quan, tổ chức, cá nhân có liên quan trong việc thành lập, sáp nhập, hợp nhất, giải thể đơn vị sự nghiệp công lập thuộc ngành, lĩnh vực tư pháp.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3. Nguyên tắc thành lập, sáp nhập, hợp nhất, giải thể các đơn vị sự nghiệp công lập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Việc thành lập, sáp nhập, hợp nhất, giải thể các đơn vị sự nghiệp công lập thuộc ngành, lĩnh vực tư pháp phải phù hợp với quy định tại Điều 4 Nghị định số 120/2020/NĐ-CP ngày 07 tháng 10 năm 2020 của Chính phủ quy định về thành lập, tổ chức lại, giải thể đơn vị sự nghiệp công lập (sau đây gọi là Nghị định số 120/2020/NĐ-CP).</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Chương II. TIÊU CHÍ PHÂN LOẠI ĐƠN VỊ SỰ NGHIỆP CÔNG LẬP THUỘC NGÀNH, LĨNH VỰC TƯ PHÁP</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lastRenderedPageBreak/>
        <w:t> </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4. Phân loại </w:t>
      </w:r>
      <w:proofErr w:type="gramStart"/>
      <w:r w:rsidRPr="00422295">
        <w:rPr>
          <w:rFonts w:ascii="Arial" w:eastAsia="Times New Roman" w:hAnsi="Arial" w:cs="Arial"/>
          <w:b/>
          <w:bCs/>
          <w:color w:val="000000"/>
        </w:rPr>
        <w:t>theo</w:t>
      </w:r>
      <w:proofErr w:type="gramEnd"/>
      <w:r w:rsidRPr="00422295">
        <w:rPr>
          <w:rFonts w:ascii="Arial" w:eastAsia="Times New Roman" w:hAnsi="Arial" w:cs="Arial"/>
          <w:b/>
          <w:bCs/>
          <w:color w:val="000000"/>
        </w:rPr>
        <w:t> chức năng, nhiệm vụ</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1. Đơn vị sự nghiệp công lập phục vụ quản lý nhà nước</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a) Đơn vị sự nghiệp công lập thực hiện chức năng nghiên cứu phục vụ hoạch định chiến lược và xây dựng, hoàn thiện thể chế, chính sách về ngành, lĩnh vực tư pháp;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b) Đơn vị sự nghiệp công lập thực hiện chức năng xây dựng, quản lý, khai thác thông tin, hỗ trợ pháp luật;</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c) Đơn vị sự nghiệp công lập thực hiện các chức năng khác phục vụ quản lý nhà nước thuộc ngành, lĩnh vực tư pháp.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2. Đơn vị sự nghiệp công lập cung ứng dịch vụ sự nghiệp công</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a) Đơn vị sự nghiệp công lập cung ứng dịch vụ sự nghiệp công sử dụng ngân sách nhà nước hoặc dịch vụ sự nghiệp công cơ bản, thiết yếu thuộc ngành, lĩnh vực tư pháp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xml:space="preserve"> danh mục được cấp có thẩm quyền phê duyệt;</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b) Đơn vị sự nghiệp công lập cung cấp dịch vụ sự nghiệp công khác thuộc ngành, lĩnh vực tư pháp.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3. Đơn vị sự nghiệp công lập phục vụ quản lý nhà nước và cung ứng dịch vụ sự nghiệp công là đơn vị thực hiện một hoặc nhiều chức năng, nhiệm vụ quy định tại khoản 1 và một hoặc nhiều chức năng, nhiệm vụ quy định tại khoản 2 Điều này.</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Việc xác định loại hình đơn vị sự nghiệp công lập tại khoản này căn cứ vào chức năng, nhiệm vụ của đơn vị sự nghiệp công lập được cấp có thẩm quyền phê duyệt.</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5. Phân loại </w:t>
      </w:r>
      <w:proofErr w:type="gramStart"/>
      <w:r w:rsidRPr="00422295">
        <w:rPr>
          <w:rFonts w:ascii="Arial" w:eastAsia="Times New Roman" w:hAnsi="Arial" w:cs="Arial"/>
          <w:b/>
          <w:bCs/>
          <w:color w:val="000000"/>
        </w:rPr>
        <w:t>theo</w:t>
      </w:r>
      <w:proofErr w:type="gramEnd"/>
      <w:r w:rsidRPr="00422295">
        <w:rPr>
          <w:rFonts w:ascii="Arial" w:eastAsia="Times New Roman" w:hAnsi="Arial" w:cs="Arial"/>
          <w:b/>
          <w:bCs/>
          <w:color w:val="000000"/>
        </w:rPr>
        <w:t> cơ quan có thẩm quyền thành lập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1. Đơn vị sự nghiệp công lập được thành lập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thẩm quyền của Chính phủ.</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2. Đơn vị sự nghiệp công lập được thành lập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thẩm quyền của Bộ trưởng Bộ Tư pháp.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3. Đơn vị sự nghiệp công lập được thành lập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thẩm quyền của Ủy ban nhân dân các tỉnh, thành phố trực thuộc Trung ương.</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4. Đơn vị sự nghiệp công lập được thành lập bởi chủ thể khác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xml:space="preserve"> quy định của pháp luật.</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6. Phân loại </w:t>
      </w:r>
      <w:proofErr w:type="gramStart"/>
      <w:r w:rsidRPr="00422295">
        <w:rPr>
          <w:rFonts w:ascii="Arial" w:eastAsia="Times New Roman" w:hAnsi="Arial" w:cs="Arial"/>
          <w:b/>
          <w:bCs/>
          <w:color w:val="000000"/>
        </w:rPr>
        <w:t>theo</w:t>
      </w:r>
      <w:proofErr w:type="gramEnd"/>
      <w:r w:rsidRPr="00422295">
        <w:rPr>
          <w:rFonts w:ascii="Arial" w:eastAsia="Times New Roman" w:hAnsi="Arial" w:cs="Arial"/>
          <w:b/>
          <w:bCs/>
          <w:color w:val="000000"/>
        </w:rPr>
        <w:t> mức độ tự chủ về tài chính</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1. Phân loại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mức độ tự chủ về tài chính của đơn vị sự nghiệp công lập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a) Đơn vị sự nghiệp công lập tự bảo đảm chi thường xuyên và chi đầu tư;</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b) Đơn vị sự nghiệp công lập tự bảo đảm chi thường xuyên;</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c) Đơn vị sự nghiệp công lập tự bảo đảm một phần chi thường xuyên;</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d) Đơn vị sự nghiệp công lập do ngân sách nhà nước bảo đảm chi thường xuyên.</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2. Việc xác định mức độ tự chủ tài chính của các đơn vị sự nghiệp công lập trong ngành, lĩnh vực tư pháp tại khoản này thực hiện theo quy định tại Nghị định của Chính phủ quy định cơ chế tự chủ tài chính các đơn vị sự nghiệp công lập.</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Chương III. ĐIỀU KIỆN THÀNH LẬP, SÁP NHẬP, HỢP NHẤT, GIẢI THỂ ĐƠN VỊ SỰ NGHIỆP CÔNG LẬP THUỘC NGÀNH, LĨNH VỰC TƯ PHÁP</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7. Điều kiện thành lập đơn vị sự nghiệp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lastRenderedPageBreak/>
        <w:t>1. Việc thành lập đơn vị sự nghiệp công lập trong ngành, lĩnh vực tư pháp phải đáp ứng các điều kiện </w:t>
      </w:r>
      <w:proofErr w:type="gramStart"/>
      <w:r w:rsidRPr="00422295">
        <w:rPr>
          <w:rFonts w:ascii="Arial" w:eastAsia="Times New Roman" w:hAnsi="Arial" w:cs="Arial"/>
          <w:color w:val="000000"/>
        </w:rPr>
        <w:t>theo</w:t>
      </w:r>
      <w:proofErr w:type="gramEnd"/>
      <w:r w:rsidRPr="00422295">
        <w:rPr>
          <w:rFonts w:ascii="Arial" w:eastAsia="Times New Roman" w:hAnsi="Arial" w:cs="Arial"/>
          <w:color w:val="000000"/>
        </w:rPr>
        <w:t xml:space="preserve"> quy định tại điểm a, c, d, đ khoản 1 Điều 5 Nghị định số 120/2020/NĐ-CP.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2. Ngoài các điều kiện chung quy định tại khoản 1 Điều này, việc thành lập các đơn vị sự nghiệp công lập thuộc ngành, lĩnh vực tư pháp còn phải đáp ứng điều kiện khác theo quy định của pháp luật có liên quan.</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8. Điều kiện sáp nhập, hợp nhất đơn vị sự nghiệp công lập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1. Việc sáp nhập, hợp nhất đơn vị sự nghiệp công lập được thực hiện khi đáp ứng điều kiện quy định tại khoản 2 Điều 5 Nghị định số 120/2020/NĐ-CP.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2. Đơn vị sự nghiệp công lập hình thành sau quá trình sáp nhập, hợp nhất phải đáp ứng đủ điều kiện thành lập đơn vị sự nghiệp công lập quy định tại Điều 7 Thông tư này và quy định của pháp luật có liên quan. Việc sáp nhập, hợp nhất đơn vị sự nghiệp công lập bảo đảm không làm giảm mức độ tự chủ về tài chính hiện có của đơn vị; trường hợp thực hiện sáp nhập, hợp nhất các đơn vị sự nghiệp công lập tự chủ tài chính ở các mức độ khác nhau thì mức độ tự chủ tài chính của đơn vị sự nghiệp công lập sau khi sáp nhập, hợp nhất được thực hiện theo quyết định của cơ quan có thẩm quyền.</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9. Điều kiện giải thể đơn vị sự nghiệp công lập</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1. Việc giải thể đơn vị sự nghiệp công lập được thực hiện khi có một trong các điều kiện quy định tại điểm a, b, c, d khoản 3 Điều 5 Nghị định số 120/2020/NĐ-CP và các điều kiện giải thể khác theo quy định của pháp luật chuyên ngành.</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 xml:space="preserve">2. Đơn vị sự nghiệp công lập chỉ thực hiện giải thể sau khi hoàn thành nghĩa vụ về tài chính, tài sản, đất </w:t>
      </w:r>
      <w:proofErr w:type="gramStart"/>
      <w:r w:rsidRPr="00422295">
        <w:rPr>
          <w:rFonts w:ascii="Arial" w:eastAsia="Times New Roman" w:hAnsi="Arial" w:cs="Arial"/>
          <w:color w:val="000000"/>
        </w:rPr>
        <w:t>đai</w:t>
      </w:r>
      <w:proofErr w:type="gramEnd"/>
      <w:r w:rsidRPr="00422295">
        <w:rPr>
          <w:rFonts w:ascii="Arial" w:eastAsia="Times New Roman" w:hAnsi="Arial" w:cs="Arial"/>
          <w:color w:val="000000"/>
        </w:rPr>
        <w:t>, các khoản vay, nợ phải trả và các nghĩa vụ khác có liên quan và được cơ quan, tổ chức có thẩm quyền xác nhận bằng văn bản.</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000000"/>
        </w:rPr>
        <w:t>Chương IV. ĐIỀU KHOẢN THI HÀNH</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10. Hiệu lực thi hành</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Thông tư này có hiệu lực thi hành kể từ ngày 19 tháng 12 năm 2022.</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b/>
          <w:bCs/>
          <w:color w:val="000000"/>
        </w:rPr>
        <w:t>Điều 11. Trách nhiệm thi hành</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1. Ủy ban nhân dân các tỉnh, thành phố trực thuộc Trung ương có trách nhiệm chỉ đạo tổ chức triển khai thực hiện Thông tư này.</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2. Thủ trưởng các đơn vị thuộc Bộ Tư pháp, Giám đốc Sở Tư pháp các tỉnh, thành phố trực thuộc Trung ương, người đứng đầu đơn vị sự nghiệp công lập và các cơ quan, tổ chức có liên quan chịu trách nhiệm thi hành Thông tư này.</w:t>
      </w:r>
    </w:p>
    <w:p w:rsidR="00422295" w:rsidRPr="00422295" w:rsidRDefault="00422295" w:rsidP="00422295">
      <w:pPr>
        <w:spacing w:after="120" w:line="240" w:lineRule="auto"/>
        <w:jc w:val="both"/>
        <w:rPr>
          <w:rFonts w:ascii="Arial" w:eastAsia="Times New Roman" w:hAnsi="Arial" w:cs="Arial"/>
          <w:color w:val="222222"/>
        </w:rPr>
      </w:pPr>
      <w:r w:rsidRPr="00422295">
        <w:rPr>
          <w:rFonts w:ascii="Arial" w:eastAsia="Times New Roman" w:hAnsi="Arial" w:cs="Arial"/>
          <w:color w:val="000000"/>
        </w:rPr>
        <w:t>3. Trong quá trình thực hiện, nếu có khó khăn, vướng mắc, đề nghị các cơ quan, đơn vị phản ánh bằng văn bản về Bộ Tư pháp để hướng dẫn, giải quyết theo quy định./.</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222222"/>
        </w:rPr>
        <w:t> </w:t>
      </w:r>
    </w:p>
    <w:tbl>
      <w:tblPr>
        <w:tblW w:w="11560" w:type="dxa"/>
        <w:tblCellMar>
          <w:left w:w="0" w:type="dxa"/>
          <w:right w:w="0" w:type="dxa"/>
        </w:tblCellMar>
        <w:tblLook w:val="04A0" w:firstRow="1" w:lastRow="0" w:firstColumn="1" w:lastColumn="0" w:noHBand="0" w:noVBand="1"/>
      </w:tblPr>
      <w:tblGrid>
        <w:gridCol w:w="6775"/>
        <w:gridCol w:w="4785"/>
      </w:tblGrid>
      <w:tr w:rsidR="00422295" w:rsidRPr="00422295" w:rsidTr="00422295">
        <w:tc>
          <w:tcPr>
            <w:tcW w:w="5415" w:type="dxa"/>
            <w:tcMar>
              <w:top w:w="0" w:type="dxa"/>
              <w:left w:w="108" w:type="dxa"/>
              <w:bottom w:w="0" w:type="dxa"/>
              <w:right w:w="108" w:type="dxa"/>
            </w:tcMar>
            <w:hideMark/>
          </w:tcPr>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b/>
                <w:bCs/>
                <w:color w:val="000000"/>
              </w:rPr>
              <w:t>Nơi nhận:</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Thủ tướng, các Phó Thủ tướng Chính phủ;</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Văn phòng Trung ương và các Ban của Đảng;</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Văn phòng Quốc hội;</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Văn phòng Chủ tịch nước;</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Văn phòng Chính phủ;</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Các Bộ, cơ quan ngang Bộ, cơ quan thuộc Chính ph</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Tòa án nhân dân tối cao;</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lastRenderedPageBreak/>
              <w:t>- Viện kiểm sát nhân dân tối cao;</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Ủy ban Trung ương Mặt trận Tổ quốc Việt Nam;</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Cơ quan Trung ương của các đoàn thể;</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Kiểm toán Nhà nước;</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UBND các tỉnh, thành phố trực thuộc Trung ương;</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Sở Tư pháp, Sở Nội vụ các tỉnh, thành phố trực thuộc Trung ương;</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Công báo; Website Chính phủ; Website Bộ Tư pháp;</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Bộ Tư pháp: Bộ trưởng, các Thứ trưởng, các đơn vị thuộc Bộ;</w:t>
            </w:r>
          </w:p>
          <w:p w:rsidR="00422295" w:rsidRPr="00422295" w:rsidRDefault="00422295" w:rsidP="00422295">
            <w:pPr>
              <w:spacing w:after="0" w:line="240" w:lineRule="auto"/>
              <w:jc w:val="both"/>
              <w:rPr>
                <w:rFonts w:ascii="Arial" w:eastAsia="Times New Roman" w:hAnsi="Arial" w:cs="Arial"/>
                <w:color w:val="222222"/>
              </w:rPr>
            </w:pPr>
            <w:r w:rsidRPr="00422295">
              <w:rPr>
                <w:rFonts w:ascii="Arial" w:eastAsia="Times New Roman" w:hAnsi="Arial" w:cs="Arial"/>
                <w:color w:val="000000"/>
              </w:rPr>
              <w:t>- Lưu: VT, TCCB.</w:t>
            </w:r>
          </w:p>
        </w:tc>
        <w:tc>
          <w:tcPr>
            <w:tcW w:w="3825" w:type="dxa"/>
            <w:tcMar>
              <w:top w:w="0" w:type="dxa"/>
              <w:left w:w="108" w:type="dxa"/>
              <w:bottom w:w="0" w:type="dxa"/>
              <w:right w:w="108" w:type="dxa"/>
            </w:tcMar>
            <w:hideMark/>
          </w:tcPr>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222222"/>
              </w:rPr>
              <w:lastRenderedPageBreak/>
              <w:t>BỘ TRƯỞNG</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color w:val="222222"/>
              </w:rPr>
              <w:t> </w:t>
            </w:r>
          </w:p>
          <w:p w:rsidR="00422295" w:rsidRPr="00422295" w:rsidRDefault="00422295" w:rsidP="00422295">
            <w:pPr>
              <w:spacing w:after="0" w:line="240" w:lineRule="auto"/>
              <w:jc w:val="center"/>
              <w:rPr>
                <w:rFonts w:ascii="Arial" w:eastAsia="Times New Roman" w:hAnsi="Arial" w:cs="Arial"/>
                <w:color w:val="222222"/>
              </w:rPr>
            </w:pPr>
            <w:r w:rsidRPr="00422295">
              <w:rPr>
                <w:rFonts w:ascii="Arial" w:eastAsia="Times New Roman" w:hAnsi="Arial" w:cs="Arial"/>
                <w:b/>
                <w:bCs/>
                <w:color w:val="222222"/>
              </w:rPr>
              <w:t>Lê Thành Long</w:t>
            </w:r>
          </w:p>
        </w:tc>
      </w:tr>
    </w:tbl>
    <w:p w:rsidR="00AA2496" w:rsidRPr="00422295" w:rsidRDefault="00AA2496" w:rsidP="00422295"/>
    <w:sectPr w:rsidR="00AA2496" w:rsidRPr="00422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5"/>
    <w:rsid w:val="00422295"/>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0985D-DF17-46A0-A1B8-4182A9C8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295"/>
    <w:rPr>
      <w:b/>
      <w:bCs/>
    </w:rPr>
  </w:style>
  <w:style w:type="character" w:styleId="Emphasis">
    <w:name w:val="Emphasis"/>
    <w:basedOn w:val="DefaultParagraphFont"/>
    <w:uiPriority w:val="20"/>
    <w:qFormat/>
    <w:rsid w:val="00422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2022-11-09T10:52:00Z</dcterms:created>
  <dcterms:modified xsi:type="dcterms:W3CDTF">2022-11-09T10:53:00Z</dcterms:modified>
</cp:coreProperties>
</file>